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B172" w14:textId="77777777" w:rsidR="002959F3" w:rsidRPr="002959F3" w:rsidRDefault="002959F3" w:rsidP="002959F3">
      <w:pPr>
        <w:framePr w:w="9211" w:wrap="around" w:vAnchor="text" w:hAnchor="page" w:x="1486" w:y="-13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2959F3">
        <w:rPr>
          <w:rFonts w:ascii="Calibri" w:eastAsia="MS Mincho" w:hAnsi="Calibri" w:cs="Calibri"/>
          <w:b/>
          <w:sz w:val="36"/>
          <w:szCs w:val="36"/>
        </w:rPr>
        <w:t>APPENDIX Q</w:t>
      </w:r>
    </w:p>
    <w:p w14:paraId="451F5727" w14:textId="77777777" w:rsidR="002959F3" w:rsidRPr="002959F3" w:rsidRDefault="002959F3" w:rsidP="002959F3">
      <w:pPr>
        <w:jc w:val="center"/>
        <w:rPr>
          <w:rFonts w:ascii="Calibri" w:eastAsia="MS Mincho" w:hAnsi="Calibri" w:cs="Calibri"/>
          <w:b/>
          <w:bCs/>
          <w:sz w:val="24"/>
          <w:szCs w:val="20"/>
        </w:rPr>
      </w:pPr>
    </w:p>
    <w:p w14:paraId="5E5F4D01" w14:textId="77777777" w:rsidR="002959F3" w:rsidRPr="002959F3" w:rsidRDefault="002959F3" w:rsidP="002959F3">
      <w:pPr>
        <w:jc w:val="center"/>
        <w:rPr>
          <w:rFonts w:ascii="Calibri" w:eastAsia="MS Mincho" w:hAnsi="Calibri" w:cs="Calibri"/>
          <w:b/>
          <w:bCs/>
          <w:sz w:val="28"/>
          <w:szCs w:val="28"/>
        </w:rPr>
      </w:pPr>
      <w:r w:rsidRPr="002959F3">
        <w:rPr>
          <w:rFonts w:ascii="Calibri" w:eastAsia="MS Mincho" w:hAnsi="Calibri" w:cs="Calibri"/>
          <w:b/>
          <w:bCs/>
          <w:sz w:val="28"/>
          <w:szCs w:val="28"/>
        </w:rPr>
        <w:t>Procedure for Pre-Acquisition of an Agricultural Conservation Easement by a Non-Profit Conservation Organization and/or a Municipality</w:t>
      </w:r>
    </w:p>
    <w:p w14:paraId="091A1767" w14:textId="77777777" w:rsidR="002959F3" w:rsidRPr="002959F3" w:rsidRDefault="002959F3" w:rsidP="002959F3">
      <w:pPr>
        <w:jc w:val="center"/>
        <w:rPr>
          <w:rFonts w:ascii="Calibri" w:eastAsia="MS Mincho" w:hAnsi="Calibri" w:cs="Calibri"/>
          <w:b/>
          <w:bCs/>
          <w:sz w:val="28"/>
          <w:szCs w:val="28"/>
        </w:rPr>
      </w:pPr>
    </w:p>
    <w:p w14:paraId="49007D72"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1. County Board makes determination that easement pre-acquisition may be necessary.</w:t>
      </w:r>
    </w:p>
    <w:p w14:paraId="32D94CA4"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2. County Board checks to make sure the farm meets the State and/or County Minimum Criteria and ranks the farm with the Land Evaluation and Site Assessment (LESA) system.</w:t>
      </w:r>
    </w:p>
    <w:p w14:paraId="555DFB54"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3. County Board sends written request to the conservation organization and/or municipality asking the organization to assist in the protection of the farm by pre-acquiring an easement for the County Board.  The letter should clearly state what costs will be reimbursed to the non-profit entity, but</w:t>
      </w:r>
      <w:r w:rsidRPr="002959F3">
        <w:rPr>
          <w:rFonts w:ascii="Calibri" w:eastAsia="MS Mincho" w:hAnsi="Calibri" w:cs="Calibri"/>
          <w:b/>
          <w:bCs/>
          <w:sz w:val="24"/>
          <w:szCs w:val="20"/>
        </w:rPr>
        <w:t xml:space="preserve"> NOT</w:t>
      </w:r>
      <w:r w:rsidRPr="002959F3">
        <w:rPr>
          <w:rFonts w:ascii="Calibri" w:eastAsia="MS Mincho" w:hAnsi="Calibri" w:cs="Calibri"/>
          <w:sz w:val="24"/>
          <w:szCs w:val="20"/>
        </w:rPr>
        <w:t xml:space="preserve"> the municipality (a municipality does not qualify for reimbursement under the Ag. Security Law), for undertaking the easement pre-acquisition. The conservation organization needs to be registered with the State office as a qualified organization for pre-acquisition assistance.</w:t>
      </w:r>
    </w:p>
    <w:p w14:paraId="117FB7DC"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4. Conservation organization and/or municipality responds to the County Board request by agreeing to do the easement pre-acquisition.</w:t>
      </w:r>
    </w:p>
    <w:p w14:paraId="6BBD2D70"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 xml:space="preserve">5.  If the Commonwealth is to eventually hold the easement, notice should be given to the Bureau of Agricultural Land Protection that an easement is being pre-acquired by the conservation organization and/or municipality. </w:t>
      </w:r>
    </w:p>
    <w:p w14:paraId="53851C92"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6. Conservation Organization and/or municipality and/or County Board should then take the following steps:</w:t>
      </w:r>
    </w:p>
    <w:p w14:paraId="34A5E2AF" w14:textId="77777777" w:rsidR="002959F3" w:rsidRPr="002959F3" w:rsidRDefault="002959F3" w:rsidP="002959F3">
      <w:pPr>
        <w:rPr>
          <w:rFonts w:ascii="Calibri" w:eastAsia="MS Mincho" w:hAnsi="Calibri" w:cs="Calibri"/>
          <w:sz w:val="24"/>
          <w:szCs w:val="20"/>
        </w:rPr>
      </w:pPr>
    </w:p>
    <w:p w14:paraId="5AF61EA7"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a. Appraise the value of the conservation easement.  Make sure the appraisal is done following the Commonwealth’s Farmland Appraisal Procedure (</w:t>
      </w:r>
      <w:r w:rsidRPr="002959F3">
        <w:rPr>
          <w:rFonts w:ascii="Calibri" w:eastAsia="MS Mincho" w:hAnsi="Calibri" w:cs="Calibri"/>
          <w:b/>
          <w:bCs/>
          <w:sz w:val="24"/>
          <w:szCs w:val="20"/>
        </w:rPr>
        <w:t>Appendix J</w:t>
      </w:r>
      <w:r w:rsidRPr="002959F3">
        <w:rPr>
          <w:rFonts w:ascii="Calibri" w:eastAsia="MS Mincho" w:hAnsi="Calibri" w:cs="Calibri"/>
          <w:sz w:val="24"/>
          <w:szCs w:val="20"/>
        </w:rPr>
        <w:t>)</w:t>
      </w:r>
    </w:p>
    <w:p w14:paraId="2F02C6A9"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b. Survey the property if necessary.</w:t>
      </w:r>
    </w:p>
    <w:p w14:paraId="188BFAA4"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c. Negotiate an easement purchase price with the landowners.</w:t>
      </w:r>
    </w:p>
    <w:p w14:paraId="4D1B36BA"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d. Order a title search and secure a title insurance commitment for the easement purchase.</w:t>
      </w:r>
    </w:p>
    <w:p w14:paraId="280F4C8C"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e. Obtain any necessary releases or subordinations from mortgage holders or other lien holders.</w:t>
      </w:r>
    </w:p>
    <w:p w14:paraId="6DF85B91" w14:textId="77777777" w:rsidR="002959F3" w:rsidRPr="002959F3" w:rsidRDefault="002959F3" w:rsidP="002959F3">
      <w:pPr>
        <w:ind w:left="720"/>
        <w:rPr>
          <w:rFonts w:ascii="Calibri" w:eastAsia="MS Mincho" w:hAnsi="Calibri" w:cs="Calibri"/>
          <w:sz w:val="24"/>
          <w:szCs w:val="20"/>
        </w:rPr>
      </w:pPr>
    </w:p>
    <w:p w14:paraId="6BDDB92B"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lastRenderedPageBreak/>
        <w:t>7. Conservation organization and/or municipality and the attorney for the conservation organization, in consultation with the County Board and Bureau of Farmland Protection, should draft the following legal documents:</w:t>
      </w:r>
    </w:p>
    <w:p w14:paraId="34158B40"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 xml:space="preserve">a. </w:t>
      </w:r>
      <w:r w:rsidRPr="002959F3">
        <w:rPr>
          <w:rFonts w:ascii="Calibri" w:eastAsia="MS Mincho" w:hAnsi="Calibri" w:cs="Calibri"/>
          <w:b/>
          <w:bCs/>
          <w:sz w:val="24"/>
          <w:szCs w:val="20"/>
        </w:rPr>
        <w:t>Deed of Agricultural Conservation Easement</w:t>
      </w:r>
      <w:r w:rsidRPr="002959F3">
        <w:rPr>
          <w:rFonts w:ascii="Calibri" w:eastAsia="MS Mincho" w:hAnsi="Calibri" w:cs="Calibri"/>
          <w:sz w:val="24"/>
          <w:szCs w:val="20"/>
        </w:rPr>
        <w:t xml:space="preserve"> - If the easement is to be eventually transferred to the Commonwealth, the easement language must be identical to the standard Commonwealth Deed of Agricultural Conservation Easement.  The county subdivision guidelines should also be included or referenced in the Deed of Easement.</w:t>
      </w:r>
    </w:p>
    <w:p w14:paraId="398BEDFE"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 xml:space="preserve">b. </w:t>
      </w:r>
      <w:r w:rsidRPr="002959F3">
        <w:rPr>
          <w:rFonts w:ascii="Calibri" w:eastAsia="MS Mincho" w:hAnsi="Calibri" w:cs="Calibri"/>
          <w:b/>
          <w:bCs/>
          <w:sz w:val="24"/>
          <w:szCs w:val="20"/>
        </w:rPr>
        <w:t xml:space="preserve">Purchase and Sales Agreement - </w:t>
      </w:r>
      <w:r w:rsidRPr="002959F3">
        <w:rPr>
          <w:rFonts w:ascii="Calibri" w:eastAsia="MS Mincho" w:hAnsi="Calibri" w:cs="Calibri"/>
          <w:sz w:val="24"/>
          <w:szCs w:val="20"/>
        </w:rPr>
        <w:t>Agreement between the conservation organization and/or municipality and the landowner to purchase and sell the agricultural conservation easement.</w:t>
      </w:r>
    </w:p>
    <w:p w14:paraId="4835F7A6" w14:textId="77777777" w:rsidR="002959F3" w:rsidRPr="002959F3" w:rsidRDefault="002959F3" w:rsidP="002959F3">
      <w:pPr>
        <w:spacing w:after="0"/>
        <w:ind w:left="720"/>
        <w:rPr>
          <w:rFonts w:ascii="Calibri" w:eastAsia="MS Mincho" w:hAnsi="Calibri" w:cs="Calibri"/>
          <w:sz w:val="24"/>
          <w:szCs w:val="20"/>
        </w:rPr>
      </w:pPr>
      <w:r w:rsidRPr="002959F3">
        <w:rPr>
          <w:rFonts w:ascii="Calibri" w:eastAsia="MS Mincho" w:hAnsi="Calibri" w:cs="Calibri"/>
          <w:sz w:val="24"/>
          <w:szCs w:val="20"/>
        </w:rPr>
        <w:t>c.</w:t>
      </w:r>
      <w:r w:rsidRPr="002959F3">
        <w:rPr>
          <w:rFonts w:ascii="Calibri" w:eastAsia="MS Mincho" w:hAnsi="Calibri" w:cs="Calibri"/>
          <w:b/>
          <w:bCs/>
          <w:sz w:val="24"/>
          <w:szCs w:val="20"/>
        </w:rPr>
        <w:t xml:space="preserve"> Assignment Agreement - </w:t>
      </w:r>
      <w:r w:rsidRPr="002959F3">
        <w:rPr>
          <w:rFonts w:ascii="Calibri" w:eastAsia="MS Mincho" w:hAnsi="Calibri" w:cs="Calibri"/>
          <w:sz w:val="24"/>
          <w:szCs w:val="20"/>
        </w:rPr>
        <w:t>This is the legal agreement between the conservation organization and/or municipality, the County Board and the State Board describing how the conservation easement ownership will be transferred from the conservation organization and/or municipality to the Commonwealth and/or County.  This includes the details on the costs involved in the transaction and how these costs will be reimbursed (except to the municipality involved as stated above).</w:t>
      </w:r>
    </w:p>
    <w:p w14:paraId="596A74FE" w14:textId="77777777" w:rsidR="002959F3" w:rsidRPr="002959F3" w:rsidRDefault="002959F3" w:rsidP="002959F3">
      <w:pPr>
        <w:spacing w:after="0" w:line="240" w:lineRule="auto"/>
        <w:ind w:left="720"/>
        <w:rPr>
          <w:rFonts w:ascii="Calibri" w:eastAsia="MS Mincho" w:hAnsi="Calibri" w:cs="Calibri"/>
          <w:sz w:val="24"/>
          <w:szCs w:val="20"/>
        </w:rPr>
      </w:pPr>
    </w:p>
    <w:p w14:paraId="64171E5F" w14:textId="77777777" w:rsidR="002959F3" w:rsidRPr="002959F3" w:rsidRDefault="002959F3" w:rsidP="002959F3">
      <w:pPr>
        <w:ind w:left="720"/>
        <w:rPr>
          <w:rFonts w:ascii="Calibri" w:eastAsia="MS Mincho" w:hAnsi="Calibri" w:cs="Calibri"/>
          <w:sz w:val="24"/>
          <w:szCs w:val="20"/>
        </w:rPr>
      </w:pPr>
      <w:r w:rsidRPr="002959F3">
        <w:rPr>
          <w:rFonts w:ascii="Calibri" w:eastAsia="MS Mincho" w:hAnsi="Calibri" w:cs="Calibri"/>
          <w:sz w:val="24"/>
          <w:szCs w:val="20"/>
        </w:rPr>
        <w:t xml:space="preserve">d. </w:t>
      </w:r>
      <w:r w:rsidRPr="002959F3">
        <w:rPr>
          <w:rFonts w:ascii="Calibri" w:eastAsia="MS Mincho" w:hAnsi="Calibri" w:cs="Calibri"/>
          <w:b/>
          <w:bCs/>
          <w:sz w:val="24"/>
          <w:szCs w:val="20"/>
        </w:rPr>
        <w:t>Assignment of Agricultural Conservation Easement</w:t>
      </w:r>
      <w:r w:rsidRPr="002959F3">
        <w:rPr>
          <w:rFonts w:ascii="Calibri" w:eastAsia="MS Mincho" w:hAnsi="Calibri" w:cs="Calibri"/>
          <w:sz w:val="24"/>
          <w:szCs w:val="20"/>
        </w:rPr>
        <w:t xml:space="preserve"> - This is the legal document which is used to transfer the ownership of the conservation easement from the conservation organization and/or municipality to the Commonwealth and/or County. It is included as an attachment to the Assignment Agreement.</w:t>
      </w:r>
    </w:p>
    <w:p w14:paraId="65F50424"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8. Conservation organization and/or municipality obtains financing and follows through with the purchase of the easement from the landowner.  The conservation organization and/or municipality should record the deed of easement in the Recorder of Deeds Office immediately following settlement with the landowner.</w:t>
      </w:r>
    </w:p>
    <w:p w14:paraId="03ACCCEC"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 xml:space="preserve">9. If the easement is to be transferred to the Commonwealth, the County Board should submit a written request to the State Board to approve the assignment of the conservation easement from the conservation organization and/or municipality to the Commonwealth.  The same documentation should be submitted to the State Board as is required for recommending a standard Commonwealth easement purchase with the additional legal documents included. </w:t>
      </w:r>
    </w:p>
    <w:p w14:paraId="173E262B"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10. After the State Board votes to approve the assignment, the conservation organization and/or municipality must wait for the State funds to be released to cover the assignment costs and the reimbursement of incidental costs, if appropriate, involved in the pre-acquisition transaction.</w:t>
      </w:r>
    </w:p>
    <w:p w14:paraId="464B0E72"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 xml:space="preserve">11.  At the assignment settlement, representatives or agents for the conservation organization and/or municipality, the Commonwealth and/or County Board sign the assignment document, legally transferring ownership of the easement from the conservation organization and/or </w:t>
      </w:r>
      <w:r w:rsidRPr="002959F3">
        <w:rPr>
          <w:rFonts w:ascii="Calibri" w:eastAsia="MS Mincho" w:hAnsi="Calibri" w:cs="Calibri"/>
          <w:sz w:val="24"/>
          <w:szCs w:val="20"/>
        </w:rPr>
        <w:lastRenderedPageBreak/>
        <w:t>municipality to the Commonwealth and/or County.  During the settlement, the conservation organization and/or municipality is reimbursed for all agreed costs in pre-acquiring the easement.  The County Board should have the assignment document recorded in the Recorder of Deeds Office immediately following the settlement.</w:t>
      </w:r>
    </w:p>
    <w:p w14:paraId="4876088D" w14:textId="77777777" w:rsidR="002959F3" w:rsidRPr="002959F3" w:rsidRDefault="002959F3" w:rsidP="002959F3">
      <w:pPr>
        <w:rPr>
          <w:rFonts w:ascii="Calibri" w:eastAsia="MS Mincho" w:hAnsi="Calibri" w:cs="Calibri"/>
          <w:sz w:val="24"/>
          <w:szCs w:val="20"/>
        </w:rPr>
      </w:pPr>
      <w:r w:rsidRPr="002959F3">
        <w:rPr>
          <w:rFonts w:ascii="Calibri" w:eastAsia="MS Mincho" w:hAnsi="Calibri" w:cs="Calibri"/>
          <w:sz w:val="24"/>
          <w:szCs w:val="20"/>
        </w:rPr>
        <w:t>12. The last step in the pre-acquisition process is for the County Board and the conservation organization to submit requests to the State Board to reimburse any additional incidental costs that were incurred by the conservation organization or County Board that were not initially requested in the assignment agreement (</w:t>
      </w:r>
      <w:proofErr w:type="gramStart"/>
      <w:r w:rsidRPr="002959F3">
        <w:rPr>
          <w:rFonts w:ascii="Calibri" w:eastAsia="MS Mincho" w:hAnsi="Calibri" w:cs="Calibri"/>
          <w:sz w:val="24"/>
          <w:szCs w:val="20"/>
        </w:rPr>
        <w:t>i.e.</w:t>
      </w:r>
      <w:proofErr w:type="gramEnd"/>
      <w:r w:rsidRPr="002959F3">
        <w:rPr>
          <w:rFonts w:ascii="Calibri" w:eastAsia="MS Mincho" w:hAnsi="Calibri" w:cs="Calibri"/>
          <w:sz w:val="24"/>
          <w:szCs w:val="20"/>
        </w:rPr>
        <w:t xml:space="preserve"> additional financing costs, recording costs, legal costs, etc.).</w:t>
      </w:r>
    </w:p>
    <w:p w14:paraId="7332DA98" w14:textId="77777777" w:rsidR="002959F3" w:rsidRPr="002959F3" w:rsidRDefault="002959F3" w:rsidP="002959F3">
      <w:pPr>
        <w:rPr>
          <w:rFonts w:ascii="Calibri" w:eastAsia="MS Mincho" w:hAnsi="Calibri" w:cs="Calibri"/>
          <w:sz w:val="24"/>
          <w:szCs w:val="20"/>
        </w:rPr>
      </w:pPr>
    </w:p>
    <w:p w14:paraId="00F8DD1A" w14:textId="77777777" w:rsidR="002959F3" w:rsidRPr="002959F3" w:rsidRDefault="002959F3" w:rsidP="002959F3">
      <w:pPr>
        <w:rPr>
          <w:rFonts w:ascii="Calibri" w:eastAsia="MS Mincho" w:hAnsi="Calibri" w:cs="Calibri"/>
          <w:sz w:val="24"/>
          <w:szCs w:val="20"/>
        </w:rPr>
      </w:pPr>
    </w:p>
    <w:p w14:paraId="6646E6DD" w14:textId="77777777" w:rsidR="002959F3" w:rsidRPr="002959F3" w:rsidRDefault="002959F3" w:rsidP="002959F3">
      <w:pPr>
        <w:rPr>
          <w:rFonts w:ascii="Calibri" w:eastAsia="MS Mincho" w:hAnsi="Calibri" w:cs="Calibri"/>
          <w:sz w:val="24"/>
          <w:szCs w:val="20"/>
        </w:rPr>
      </w:pPr>
    </w:p>
    <w:p w14:paraId="4913A3DF" w14:textId="77777777" w:rsidR="002959F3" w:rsidRPr="002959F3" w:rsidRDefault="002959F3" w:rsidP="002959F3">
      <w:pPr>
        <w:rPr>
          <w:rFonts w:ascii="Calibri" w:eastAsia="MS Mincho" w:hAnsi="Calibri" w:cs="Calibri"/>
          <w:sz w:val="24"/>
          <w:szCs w:val="20"/>
        </w:rPr>
      </w:pPr>
    </w:p>
    <w:p w14:paraId="1182836C" w14:textId="77777777" w:rsidR="002959F3" w:rsidRPr="002959F3" w:rsidRDefault="002959F3" w:rsidP="002959F3">
      <w:pPr>
        <w:rPr>
          <w:rFonts w:ascii="Calibri" w:eastAsia="MS Mincho" w:hAnsi="Calibri" w:cs="Calibri"/>
          <w:sz w:val="24"/>
          <w:szCs w:val="20"/>
        </w:rPr>
      </w:pPr>
    </w:p>
    <w:p w14:paraId="56F87ECE" w14:textId="77777777" w:rsidR="002959F3" w:rsidRPr="002959F3" w:rsidRDefault="002959F3" w:rsidP="002959F3">
      <w:pPr>
        <w:rPr>
          <w:rFonts w:ascii="Calibri" w:eastAsia="MS Mincho" w:hAnsi="Calibri" w:cs="Calibri"/>
          <w:sz w:val="24"/>
          <w:szCs w:val="20"/>
        </w:rPr>
      </w:pPr>
    </w:p>
    <w:p w14:paraId="0148E0B8"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9F3"/>
    <w:rsid w:val="002959F3"/>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6C07B"/>
  <w15:chartTrackingRefBased/>
  <w15:docId w15:val="{F3D6D9C1-3F02-4D05-A0C0-2CFB89B6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810</Words>
  <Characters>4618</Characters>
  <Application>Microsoft Office Word</Application>
  <DocSecurity>0</DocSecurity>
  <Lines>38</Lines>
  <Paragraphs>10</Paragraphs>
  <ScaleCrop>false</ScaleCrop>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2022-04-26T13:22:00Z</dcterms:created>
  <dcterms:modified xsi:type="dcterms:W3CDTF">2022-04-26T13:23:00Z</dcterms:modified>
</cp:coreProperties>
</file>